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3D7E9" w14:textId="77777777" w:rsidR="008F59F5" w:rsidRPr="009F7233" w:rsidRDefault="008F59F5" w:rsidP="008F59F5">
      <w:pPr>
        <w:pageBreakBefore/>
        <w:numPr>
          <w:ilvl w:val="0"/>
          <w:numId w:val="1"/>
        </w:numPr>
        <w:spacing w:line="276" w:lineRule="auto"/>
        <w:ind w:left="714" w:hanging="357"/>
        <w:jc w:val="right"/>
        <w:rPr>
          <w:rFonts w:eastAsia="Calibri"/>
          <w:i/>
          <w:sz w:val="22"/>
          <w:szCs w:val="22"/>
          <w:lang w:eastAsia="en-US"/>
        </w:rPr>
      </w:pPr>
      <w:r w:rsidRPr="009F7233">
        <w:rPr>
          <w:rFonts w:eastAsia="Calibri"/>
          <w:i/>
          <w:sz w:val="22"/>
          <w:szCs w:val="22"/>
          <w:lang w:eastAsia="en-US"/>
        </w:rPr>
        <w:t>számú melléklet</w:t>
      </w:r>
    </w:p>
    <w:p w14:paraId="1A8ECB55" w14:textId="77777777" w:rsidR="008F59F5" w:rsidRPr="009F7233" w:rsidRDefault="008F59F5" w:rsidP="008F59F5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9F7233">
        <w:rPr>
          <w:rFonts w:eastAsia="Calibri"/>
          <w:b/>
          <w:sz w:val="22"/>
          <w:szCs w:val="22"/>
          <w:lang w:eastAsia="en-US"/>
        </w:rPr>
        <w:t>AJÁNLATI ADATLAP</w:t>
      </w:r>
    </w:p>
    <w:p w14:paraId="731B2C81" w14:textId="77777777" w:rsidR="008F59F5" w:rsidRPr="009F7233" w:rsidRDefault="008F59F5" w:rsidP="008F59F5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14:paraId="74874CA4" w14:textId="77777777" w:rsidR="008F59F5" w:rsidRPr="009F7233" w:rsidRDefault="008F59F5" w:rsidP="008F59F5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Bicskei 4209/83 hrsz-ú ingatlan adásvétele</w:t>
      </w:r>
      <w:r w:rsidRPr="009F7233">
        <w:rPr>
          <w:rFonts w:eastAsia="Calibri"/>
          <w:b/>
          <w:sz w:val="22"/>
          <w:szCs w:val="22"/>
          <w:lang w:eastAsia="en-US"/>
        </w:rPr>
        <w:t xml:space="preserve"> tárgyban</w:t>
      </w:r>
    </w:p>
    <w:p w14:paraId="0594327B" w14:textId="77777777" w:rsidR="008F59F5" w:rsidRPr="009F7233" w:rsidRDefault="008F59F5" w:rsidP="008F59F5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14:paraId="216158C0" w14:textId="77777777" w:rsidR="008F59F5" w:rsidRPr="009F7233" w:rsidRDefault="008F59F5" w:rsidP="008F59F5">
      <w:pPr>
        <w:spacing w:line="259" w:lineRule="auto"/>
        <w:ind w:left="-142"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A</w:t>
      </w:r>
      <w:r w:rsidRPr="009F7233">
        <w:rPr>
          <w:rFonts w:eastAsia="Calibri"/>
          <w:b/>
          <w:sz w:val="22"/>
          <w:szCs w:val="22"/>
          <w:lang w:eastAsia="en-US"/>
        </w:rPr>
        <w:t>jánlattevő adatai: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3"/>
        <w:gridCol w:w="5117"/>
      </w:tblGrid>
      <w:tr w:rsidR="008F59F5" w:rsidRPr="009F7233" w14:paraId="51955129" w14:textId="77777777" w:rsidTr="002E6ECD">
        <w:trPr>
          <w:trHeight w:val="291"/>
        </w:trPr>
        <w:tc>
          <w:tcPr>
            <w:tcW w:w="2176" w:type="pct"/>
            <w:vAlign w:val="center"/>
          </w:tcPr>
          <w:p w14:paraId="2E967CD7" w14:textId="77777777" w:rsidR="008F59F5" w:rsidRDefault="008F59F5" w:rsidP="002E6ECD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A</w:t>
            </w:r>
            <w:r w:rsidRPr="009F7233">
              <w:rPr>
                <w:rFonts w:eastAsia="Calibri"/>
                <w:b/>
                <w:sz w:val="22"/>
                <w:szCs w:val="22"/>
                <w:lang w:eastAsia="en-US"/>
              </w:rPr>
              <w:t>jánlattevő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/Cég</w:t>
            </w:r>
            <w:r w:rsidRPr="009F7233">
              <w:rPr>
                <w:rFonts w:eastAsia="Calibri"/>
                <w:b/>
                <w:sz w:val="22"/>
                <w:szCs w:val="22"/>
                <w:lang w:eastAsia="en-US"/>
              </w:rPr>
              <w:t xml:space="preserve"> neve:</w:t>
            </w:r>
          </w:p>
          <w:p w14:paraId="5E401BB2" w14:textId="77777777" w:rsidR="008F59F5" w:rsidRPr="009F7233" w:rsidRDefault="008F59F5" w:rsidP="002E6ECD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24" w:type="pct"/>
            <w:vAlign w:val="center"/>
          </w:tcPr>
          <w:p w14:paraId="5C736277" w14:textId="77777777" w:rsidR="008F59F5" w:rsidRPr="009F7233" w:rsidRDefault="008F59F5" w:rsidP="002E6ECD">
            <w:pPr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8F59F5" w:rsidRPr="009F7233" w14:paraId="72B6103E" w14:textId="77777777" w:rsidTr="002E6ECD">
        <w:trPr>
          <w:trHeight w:val="291"/>
        </w:trPr>
        <w:tc>
          <w:tcPr>
            <w:tcW w:w="2176" w:type="pct"/>
            <w:vAlign w:val="center"/>
          </w:tcPr>
          <w:p w14:paraId="68577B3E" w14:textId="77777777" w:rsidR="008F59F5" w:rsidRDefault="008F59F5" w:rsidP="002E6ECD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A</w:t>
            </w:r>
            <w:r w:rsidRPr="009F7233">
              <w:rPr>
                <w:rFonts w:eastAsia="Calibri"/>
                <w:b/>
                <w:sz w:val="22"/>
                <w:szCs w:val="22"/>
                <w:lang w:eastAsia="en-US"/>
              </w:rPr>
              <w:t xml:space="preserve">jánlattevő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lakcíme/székhelye</w:t>
            </w:r>
            <w:r w:rsidRPr="009F7233">
              <w:rPr>
                <w:rFonts w:eastAsia="Calibri"/>
                <w:b/>
                <w:sz w:val="22"/>
                <w:szCs w:val="22"/>
                <w:lang w:eastAsia="en-US"/>
              </w:rPr>
              <w:t>:</w:t>
            </w:r>
          </w:p>
          <w:p w14:paraId="7F1FE232" w14:textId="77777777" w:rsidR="008F59F5" w:rsidRPr="009F7233" w:rsidRDefault="008F59F5" w:rsidP="002E6ECD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24" w:type="pct"/>
            <w:vAlign w:val="center"/>
          </w:tcPr>
          <w:p w14:paraId="05358EDB" w14:textId="77777777" w:rsidR="008F59F5" w:rsidRPr="009F7233" w:rsidRDefault="008F59F5" w:rsidP="002E6EC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F59F5" w:rsidRPr="009F7233" w14:paraId="6B94AEB0" w14:textId="77777777" w:rsidTr="002E6ECD">
        <w:trPr>
          <w:trHeight w:val="291"/>
        </w:trPr>
        <w:tc>
          <w:tcPr>
            <w:tcW w:w="2176" w:type="pct"/>
            <w:vAlign w:val="center"/>
          </w:tcPr>
          <w:p w14:paraId="4D9A0C90" w14:textId="77777777" w:rsidR="008F59F5" w:rsidRDefault="008F59F5" w:rsidP="002E6ECD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Születéskori neve:</w:t>
            </w:r>
          </w:p>
          <w:p w14:paraId="29E0DBD6" w14:textId="77777777" w:rsidR="008F59F5" w:rsidRPr="009F7233" w:rsidRDefault="008F59F5" w:rsidP="002E6ECD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24" w:type="pct"/>
            <w:vAlign w:val="center"/>
          </w:tcPr>
          <w:p w14:paraId="325E6D52" w14:textId="77777777" w:rsidR="008F59F5" w:rsidRPr="009F7233" w:rsidRDefault="008F59F5" w:rsidP="002E6EC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F59F5" w:rsidRPr="009F7233" w14:paraId="786A9A81" w14:textId="77777777" w:rsidTr="002E6ECD">
        <w:trPr>
          <w:trHeight w:val="291"/>
        </w:trPr>
        <w:tc>
          <w:tcPr>
            <w:tcW w:w="2176" w:type="pct"/>
            <w:vAlign w:val="center"/>
          </w:tcPr>
          <w:p w14:paraId="41FE9637" w14:textId="77777777" w:rsidR="008F59F5" w:rsidRDefault="008F59F5" w:rsidP="002E6ECD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Anyja neve:</w:t>
            </w:r>
          </w:p>
          <w:p w14:paraId="5ED5949E" w14:textId="77777777" w:rsidR="008F59F5" w:rsidRDefault="008F59F5" w:rsidP="002E6ECD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24" w:type="pct"/>
            <w:vAlign w:val="center"/>
          </w:tcPr>
          <w:p w14:paraId="42B36D08" w14:textId="77777777" w:rsidR="008F59F5" w:rsidRPr="009F7233" w:rsidRDefault="008F59F5" w:rsidP="002E6EC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F59F5" w:rsidRPr="009F7233" w14:paraId="75374747" w14:textId="77777777" w:rsidTr="002E6ECD">
        <w:trPr>
          <w:trHeight w:val="291"/>
        </w:trPr>
        <w:tc>
          <w:tcPr>
            <w:tcW w:w="2176" w:type="pct"/>
            <w:vAlign w:val="center"/>
          </w:tcPr>
          <w:p w14:paraId="2CB63575" w14:textId="77777777" w:rsidR="008F59F5" w:rsidRDefault="008F59F5" w:rsidP="002E6ECD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Születési helye, ideje:</w:t>
            </w:r>
          </w:p>
          <w:p w14:paraId="652DA73D" w14:textId="77777777" w:rsidR="008F59F5" w:rsidRPr="009F7233" w:rsidRDefault="008F59F5" w:rsidP="002E6ECD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24" w:type="pct"/>
            <w:vAlign w:val="center"/>
          </w:tcPr>
          <w:p w14:paraId="2375B1EB" w14:textId="77777777" w:rsidR="008F59F5" w:rsidRPr="009F7233" w:rsidRDefault="008F59F5" w:rsidP="002E6EC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F59F5" w:rsidRPr="009F7233" w14:paraId="1EEE83E0" w14:textId="77777777" w:rsidTr="002E6ECD">
        <w:trPr>
          <w:trHeight w:val="291"/>
        </w:trPr>
        <w:tc>
          <w:tcPr>
            <w:tcW w:w="2176" w:type="pct"/>
            <w:vAlign w:val="center"/>
          </w:tcPr>
          <w:p w14:paraId="64B676DC" w14:textId="77777777" w:rsidR="008F59F5" w:rsidRDefault="008F59F5" w:rsidP="002E6ECD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Természetes személy személyi száma:</w:t>
            </w:r>
          </w:p>
          <w:p w14:paraId="46FAD0BB" w14:textId="77777777" w:rsidR="008F59F5" w:rsidRDefault="008F59F5" w:rsidP="002E6ECD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24" w:type="pct"/>
            <w:vAlign w:val="center"/>
          </w:tcPr>
          <w:p w14:paraId="1F26649C" w14:textId="77777777" w:rsidR="008F59F5" w:rsidRPr="009F7233" w:rsidRDefault="008F59F5" w:rsidP="002E6EC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F59F5" w:rsidRPr="009F7233" w14:paraId="0915E667" w14:textId="77777777" w:rsidTr="002E6ECD">
        <w:trPr>
          <w:trHeight w:val="291"/>
        </w:trPr>
        <w:tc>
          <w:tcPr>
            <w:tcW w:w="2176" w:type="pct"/>
            <w:vAlign w:val="center"/>
          </w:tcPr>
          <w:p w14:paraId="3F45DBA0" w14:textId="77777777" w:rsidR="008F59F5" w:rsidRDefault="008F59F5" w:rsidP="002E6ECD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Adóazonosító jel/Adószám</w:t>
            </w:r>
            <w:r w:rsidRPr="009F7233">
              <w:rPr>
                <w:rFonts w:eastAsia="Calibri"/>
                <w:b/>
                <w:sz w:val="22"/>
                <w:szCs w:val="22"/>
                <w:lang w:eastAsia="en-US"/>
              </w:rPr>
              <w:t>:</w:t>
            </w:r>
          </w:p>
          <w:p w14:paraId="76076C41" w14:textId="77777777" w:rsidR="008F59F5" w:rsidRPr="009F7233" w:rsidRDefault="008F59F5" w:rsidP="002E6ECD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24" w:type="pct"/>
            <w:vAlign w:val="center"/>
          </w:tcPr>
          <w:p w14:paraId="15D0DF5E" w14:textId="77777777" w:rsidR="008F59F5" w:rsidRPr="009F7233" w:rsidRDefault="008F59F5" w:rsidP="002E6EC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F59F5" w:rsidRPr="009F7233" w14:paraId="1C962443" w14:textId="77777777" w:rsidTr="002E6ECD">
        <w:trPr>
          <w:trHeight w:val="291"/>
        </w:trPr>
        <w:tc>
          <w:tcPr>
            <w:tcW w:w="2176" w:type="pct"/>
            <w:vAlign w:val="center"/>
          </w:tcPr>
          <w:p w14:paraId="2834BB4F" w14:textId="77777777" w:rsidR="008F59F5" w:rsidRDefault="008F59F5" w:rsidP="002E6ECD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Képviselő neve, beosztása</w:t>
            </w:r>
          </w:p>
        </w:tc>
        <w:tc>
          <w:tcPr>
            <w:tcW w:w="2824" w:type="pct"/>
            <w:vAlign w:val="center"/>
          </w:tcPr>
          <w:p w14:paraId="0A02A0E4" w14:textId="77777777" w:rsidR="008F59F5" w:rsidRDefault="008F59F5" w:rsidP="002E6EC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1E3007B" w14:textId="77777777" w:rsidR="008F59F5" w:rsidRPr="009F7233" w:rsidRDefault="008F59F5" w:rsidP="002E6EC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46F9CCF2" w14:textId="77777777" w:rsidR="008F59F5" w:rsidRPr="009F7233" w:rsidRDefault="008F59F5" w:rsidP="008F59F5">
      <w:pPr>
        <w:spacing w:line="259" w:lineRule="auto"/>
        <w:ind w:left="-142"/>
        <w:jc w:val="both"/>
        <w:rPr>
          <w:rFonts w:eastAsia="Calibri"/>
          <w:b/>
          <w:sz w:val="22"/>
          <w:szCs w:val="22"/>
          <w:lang w:eastAsia="en-US"/>
        </w:rPr>
      </w:pPr>
    </w:p>
    <w:p w14:paraId="78383900" w14:textId="77777777" w:rsidR="008F59F5" w:rsidRPr="009F7233" w:rsidRDefault="008F59F5" w:rsidP="008F59F5">
      <w:pPr>
        <w:spacing w:line="259" w:lineRule="auto"/>
        <w:ind w:left="-142"/>
        <w:jc w:val="both"/>
        <w:rPr>
          <w:rFonts w:eastAsia="Calibri"/>
          <w:b/>
          <w:sz w:val="22"/>
          <w:szCs w:val="22"/>
          <w:lang w:eastAsia="en-US"/>
        </w:rPr>
      </w:pPr>
      <w:r w:rsidRPr="009F7233">
        <w:rPr>
          <w:rFonts w:eastAsia="Calibri"/>
          <w:b/>
          <w:sz w:val="22"/>
          <w:szCs w:val="22"/>
          <w:lang w:eastAsia="en-US"/>
        </w:rPr>
        <w:t>A kapcsolattartó adatai: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7"/>
        <w:gridCol w:w="5083"/>
      </w:tblGrid>
      <w:tr w:rsidR="008F59F5" w:rsidRPr="009F7233" w14:paraId="53CFB293" w14:textId="77777777" w:rsidTr="002E6ECD">
        <w:trPr>
          <w:trHeight w:val="166"/>
        </w:trPr>
        <w:tc>
          <w:tcPr>
            <w:tcW w:w="2195" w:type="pct"/>
            <w:vAlign w:val="center"/>
          </w:tcPr>
          <w:p w14:paraId="1FEFB415" w14:textId="77777777" w:rsidR="008F59F5" w:rsidRDefault="008F59F5" w:rsidP="002E6ECD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F7233">
              <w:rPr>
                <w:rFonts w:eastAsia="Calibri"/>
                <w:b/>
                <w:sz w:val="22"/>
                <w:szCs w:val="22"/>
                <w:lang w:eastAsia="en-US"/>
              </w:rPr>
              <w:t>Kapcsolattartó személy neve:</w:t>
            </w:r>
          </w:p>
          <w:p w14:paraId="49DC3F81" w14:textId="77777777" w:rsidR="008F59F5" w:rsidRPr="009F7233" w:rsidRDefault="008F59F5" w:rsidP="002E6ECD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05" w:type="pct"/>
            <w:vAlign w:val="center"/>
          </w:tcPr>
          <w:p w14:paraId="217D0258" w14:textId="77777777" w:rsidR="008F59F5" w:rsidRPr="009F7233" w:rsidRDefault="008F59F5" w:rsidP="002E6ECD">
            <w:pPr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8F59F5" w:rsidRPr="009F7233" w14:paraId="7999F4D2" w14:textId="77777777" w:rsidTr="002E6ECD">
        <w:tc>
          <w:tcPr>
            <w:tcW w:w="2195" w:type="pct"/>
            <w:vAlign w:val="center"/>
          </w:tcPr>
          <w:p w14:paraId="62028B9D" w14:textId="77777777" w:rsidR="008F59F5" w:rsidRDefault="008F59F5" w:rsidP="002E6ECD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Kapcsolattartó személy telefon</w:t>
            </w:r>
            <w:r w:rsidRPr="009F7233">
              <w:rPr>
                <w:rFonts w:eastAsia="Calibri"/>
                <w:b/>
                <w:sz w:val="22"/>
                <w:szCs w:val="22"/>
                <w:lang w:eastAsia="en-US"/>
              </w:rPr>
              <w:t>száma:</w:t>
            </w:r>
          </w:p>
          <w:p w14:paraId="16B2FA8D" w14:textId="77777777" w:rsidR="008F59F5" w:rsidRPr="009F7233" w:rsidRDefault="008F59F5" w:rsidP="002E6ECD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05" w:type="pct"/>
            <w:vAlign w:val="center"/>
          </w:tcPr>
          <w:p w14:paraId="6B42B801" w14:textId="77777777" w:rsidR="008F59F5" w:rsidRPr="009F7233" w:rsidRDefault="008F59F5" w:rsidP="002E6EC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F59F5" w:rsidRPr="009F7233" w14:paraId="22FED634" w14:textId="77777777" w:rsidTr="002E6ECD">
        <w:tc>
          <w:tcPr>
            <w:tcW w:w="2195" w:type="pct"/>
            <w:vAlign w:val="center"/>
          </w:tcPr>
          <w:p w14:paraId="2252233D" w14:textId="77777777" w:rsidR="008F59F5" w:rsidRDefault="008F59F5" w:rsidP="002E6ECD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F7233">
              <w:rPr>
                <w:rFonts w:eastAsia="Calibri"/>
                <w:b/>
                <w:sz w:val="22"/>
                <w:szCs w:val="22"/>
                <w:lang w:eastAsia="en-US"/>
              </w:rPr>
              <w:t>Kapcsolattartó személy e-mail címe:</w:t>
            </w:r>
          </w:p>
          <w:p w14:paraId="441E93E2" w14:textId="77777777" w:rsidR="008F59F5" w:rsidRPr="009F7233" w:rsidRDefault="008F59F5" w:rsidP="002E6ECD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05" w:type="pct"/>
            <w:vAlign w:val="center"/>
          </w:tcPr>
          <w:p w14:paraId="641C0BD5" w14:textId="77777777" w:rsidR="008F59F5" w:rsidRPr="009F7233" w:rsidRDefault="008F59F5" w:rsidP="002E6EC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256C4AFB" w14:textId="77777777" w:rsidR="008F59F5" w:rsidRDefault="008F59F5" w:rsidP="008F59F5">
      <w:pPr>
        <w:spacing w:line="259" w:lineRule="auto"/>
        <w:ind w:left="-142"/>
        <w:jc w:val="center"/>
        <w:rPr>
          <w:rFonts w:eastAsia="Calibri"/>
          <w:b/>
          <w:sz w:val="22"/>
          <w:szCs w:val="22"/>
          <w:lang w:eastAsia="en-US"/>
        </w:rPr>
      </w:pPr>
    </w:p>
    <w:p w14:paraId="46853A9A" w14:textId="77777777" w:rsidR="008F59F5" w:rsidRPr="009F7233" w:rsidRDefault="008F59F5" w:rsidP="008F59F5">
      <w:pPr>
        <w:spacing w:line="259" w:lineRule="auto"/>
        <w:ind w:left="-142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9F7233">
        <w:rPr>
          <w:rFonts w:eastAsia="Calibri"/>
          <w:b/>
          <w:sz w:val="22"/>
          <w:szCs w:val="22"/>
          <w:lang w:eastAsia="en-US"/>
        </w:rPr>
        <w:t>Azon számszerűsíthető adatok, amelyek a bírálati szempont alapján értékelésre kerülnek</w:t>
      </w:r>
      <w:r w:rsidRPr="009F7233">
        <w:rPr>
          <w:rFonts w:eastAsia="Calibri"/>
          <w:b/>
          <w:bCs/>
          <w:sz w:val="22"/>
          <w:szCs w:val="22"/>
          <w:lang w:eastAsia="en-US"/>
        </w:rPr>
        <w:t>:</w:t>
      </w:r>
    </w:p>
    <w:p w14:paraId="0026015D" w14:textId="77777777" w:rsidR="008F59F5" w:rsidRPr="009F7233" w:rsidRDefault="008F59F5" w:rsidP="008F59F5">
      <w:pPr>
        <w:spacing w:line="259" w:lineRule="auto"/>
        <w:ind w:left="-142"/>
        <w:rPr>
          <w:rFonts w:eastAsia="Calibri"/>
          <w:b/>
          <w:bCs/>
          <w:sz w:val="22"/>
          <w:szCs w:val="22"/>
          <w:lang w:eastAsia="en-US"/>
        </w:rPr>
      </w:pPr>
    </w:p>
    <w:tbl>
      <w:tblPr>
        <w:tblW w:w="2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1"/>
      </w:tblGrid>
      <w:tr w:rsidR="008F59F5" w:rsidRPr="009F7233" w14:paraId="513F7665" w14:textId="77777777" w:rsidTr="002E6ECD">
        <w:trPr>
          <w:jc w:val="center"/>
        </w:trPr>
        <w:tc>
          <w:tcPr>
            <w:tcW w:w="2621" w:type="dxa"/>
            <w:vAlign w:val="center"/>
          </w:tcPr>
          <w:p w14:paraId="4D0EF0FA" w14:textId="77777777" w:rsidR="008F59F5" w:rsidRPr="009F7233" w:rsidRDefault="008F59F5" w:rsidP="002E6ECD">
            <w:pPr>
              <w:spacing w:line="264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9F72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Bruttó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vételár</w:t>
            </w:r>
          </w:p>
        </w:tc>
      </w:tr>
      <w:tr w:rsidR="008F59F5" w:rsidRPr="009F7233" w14:paraId="4C3D92B7" w14:textId="77777777" w:rsidTr="002E6ECD">
        <w:trPr>
          <w:trHeight w:val="387"/>
          <w:jc w:val="center"/>
        </w:trPr>
        <w:tc>
          <w:tcPr>
            <w:tcW w:w="2621" w:type="dxa"/>
            <w:vAlign w:val="center"/>
          </w:tcPr>
          <w:p w14:paraId="0AADE52C" w14:textId="77777777" w:rsidR="008F59F5" w:rsidRPr="009F7233" w:rsidRDefault="008F59F5" w:rsidP="002E6ECD">
            <w:pPr>
              <w:spacing w:line="264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9F7233">
              <w:rPr>
                <w:rFonts w:eastAsia="Calibri"/>
                <w:sz w:val="22"/>
                <w:szCs w:val="22"/>
                <w:lang w:eastAsia="en-US"/>
              </w:rPr>
              <w:t>,-</w:t>
            </w:r>
            <w:proofErr w:type="gramEnd"/>
            <w:r w:rsidRPr="009F7233">
              <w:rPr>
                <w:rFonts w:eastAsia="Calibri"/>
                <w:sz w:val="22"/>
                <w:szCs w:val="22"/>
                <w:lang w:eastAsia="en-US"/>
              </w:rPr>
              <w:t xml:space="preserve"> Ft</w:t>
            </w:r>
          </w:p>
        </w:tc>
      </w:tr>
    </w:tbl>
    <w:p w14:paraId="71324620" w14:textId="77777777" w:rsidR="008F59F5" w:rsidRPr="009F7233" w:rsidRDefault="008F59F5" w:rsidP="008F59F5">
      <w:pPr>
        <w:spacing w:line="259" w:lineRule="auto"/>
        <w:rPr>
          <w:rFonts w:eastAsia="Calibri"/>
          <w:b/>
          <w:bCs/>
          <w:sz w:val="22"/>
          <w:szCs w:val="22"/>
          <w:lang w:eastAsia="en-US"/>
        </w:rPr>
      </w:pPr>
    </w:p>
    <w:p w14:paraId="30B93D0D" w14:textId="77777777" w:rsidR="008F59F5" w:rsidRDefault="008F59F5" w:rsidP="008F59F5">
      <w:pPr>
        <w:spacing w:line="259" w:lineRule="auto"/>
        <w:rPr>
          <w:rFonts w:eastAsia="Calibri"/>
          <w:sz w:val="22"/>
          <w:szCs w:val="22"/>
          <w:lang w:eastAsia="en-US"/>
        </w:rPr>
      </w:pPr>
    </w:p>
    <w:p w14:paraId="4D67E647" w14:textId="77777777" w:rsidR="008F59F5" w:rsidRPr="009F7233" w:rsidRDefault="008F59F5" w:rsidP="008F59F5">
      <w:pPr>
        <w:spacing w:line="259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Nyilatkozom, hogy a</w:t>
      </w:r>
      <w:r w:rsidRPr="009F7233">
        <w:rPr>
          <w:rFonts w:eastAsia="Calibri"/>
          <w:sz w:val="22"/>
          <w:szCs w:val="22"/>
          <w:lang w:eastAsia="en-US"/>
        </w:rPr>
        <w:t>z ajánlat</w:t>
      </w:r>
      <w:r>
        <w:rPr>
          <w:rFonts w:eastAsia="Calibri"/>
          <w:sz w:val="22"/>
          <w:szCs w:val="22"/>
          <w:lang w:eastAsia="en-US"/>
        </w:rPr>
        <w:t xml:space="preserve">omat az ajánlattételi határidő lejáratát követő </w:t>
      </w:r>
      <w:r w:rsidRPr="009F7233">
        <w:rPr>
          <w:rFonts w:eastAsia="Calibri"/>
          <w:b/>
          <w:sz w:val="22"/>
          <w:szCs w:val="22"/>
          <w:lang w:eastAsia="en-US"/>
        </w:rPr>
        <w:t>60 nap</w:t>
      </w:r>
      <w:r>
        <w:rPr>
          <w:rFonts w:eastAsia="Calibri"/>
          <w:b/>
          <w:sz w:val="22"/>
          <w:szCs w:val="22"/>
          <w:lang w:eastAsia="en-US"/>
        </w:rPr>
        <w:t xml:space="preserve">ig </w:t>
      </w:r>
      <w:r w:rsidRPr="009C3188">
        <w:rPr>
          <w:rFonts w:eastAsia="Calibri"/>
          <w:sz w:val="22"/>
          <w:szCs w:val="22"/>
          <w:lang w:eastAsia="en-US"/>
        </w:rPr>
        <w:t>fenntartom.</w:t>
      </w:r>
    </w:p>
    <w:p w14:paraId="25FA015E" w14:textId="77777777" w:rsidR="008F59F5" w:rsidRDefault="008F59F5" w:rsidP="008F59F5">
      <w:pPr>
        <w:jc w:val="both"/>
      </w:pPr>
      <w:r>
        <w:rPr>
          <w:rFonts w:eastAsia="Calibri"/>
          <w:sz w:val="22"/>
          <w:szCs w:val="22"/>
          <w:lang w:eastAsia="en-US"/>
        </w:rPr>
        <w:t>Tudomásul veszem, hogy jelen ingatlan vonatkozásában a</w:t>
      </w:r>
      <w:r>
        <w:t xml:space="preserve"> nemzeti vagyonról szóló 2011. évi CXCVI. törvény 14. § (2) bekezdés szerint az államot minden más jogosultat megelőző elővásárlási jog illeti meg.</w:t>
      </w:r>
    </w:p>
    <w:p w14:paraId="0313493F" w14:textId="77777777" w:rsidR="008F59F5" w:rsidRDefault="008F59F5" w:rsidP="008F59F5">
      <w:pPr>
        <w:jc w:val="both"/>
      </w:pPr>
      <w:r>
        <w:t>Nyertes ajánlat benyújtása esetén tudomásul veszem, hogy az adásvételi szerződés csak az állami elővásárlási jog lemondása esetén lép hatályba.</w:t>
      </w:r>
    </w:p>
    <w:p w14:paraId="15ED9E0D" w14:textId="77777777" w:rsidR="008F59F5" w:rsidRPr="009F7233" w:rsidRDefault="008F59F5" w:rsidP="008F59F5">
      <w:pPr>
        <w:spacing w:line="259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Nyilatkozom, hogy ajánlatomat az ajánlattételi felhívásban, az ingatlan elidegenítéséről szóló képviselő-testületi határozatban, adásvételi szerződés tervezetben, a szóban vagy írásban kapott egyéb információk birtokában tettem</w:t>
      </w:r>
      <w:r w:rsidRPr="009F7233">
        <w:rPr>
          <w:rFonts w:eastAsia="Calibri"/>
          <w:sz w:val="22"/>
          <w:szCs w:val="22"/>
          <w:lang w:eastAsia="en-US"/>
        </w:rPr>
        <w:t>.</w:t>
      </w:r>
    </w:p>
    <w:p w14:paraId="57D519FD" w14:textId="77777777" w:rsidR="008F59F5" w:rsidRPr="009F7233" w:rsidRDefault="008F59F5" w:rsidP="008F59F5">
      <w:pPr>
        <w:spacing w:line="259" w:lineRule="auto"/>
        <w:ind w:left="-142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14:paraId="2552D168" w14:textId="77777777" w:rsidR="008F59F5" w:rsidRDefault="008F59F5" w:rsidP="008F59F5">
      <w:pPr>
        <w:tabs>
          <w:tab w:val="left" w:pos="5245"/>
          <w:tab w:val="left" w:leader="dot" w:pos="8505"/>
        </w:tabs>
        <w:spacing w:line="259" w:lineRule="auto"/>
        <w:ind w:right="-357"/>
        <w:jc w:val="both"/>
        <w:rPr>
          <w:rFonts w:eastAsia="Calibri"/>
          <w:snapToGrid w:val="0"/>
          <w:sz w:val="22"/>
          <w:szCs w:val="22"/>
          <w:lang w:eastAsia="en-US"/>
        </w:rPr>
      </w:pPr>
    </w:p>
    <w:p w14:paraId="75385C18" w14:textId="77777777" w:rsidR="008F59F5" w:rsidRPr="009F7233" w:rsidRDefault="008F59F5" w:rsidP="008F59F5">
      <w:pPr>
        <w:tabs>
          <w:tab w:val="left" w:pos="5245"/>
          <w:tab w:val="left" w:leader="dot" w:pos="8505"/>
        </w:tabs>
        <w:spacing w:line="259" w:lineRule="auto"/>
        <w:ind w:right="-357"/>
        <w:jc w:val="both"/>
        <w:rPr>
          <w:rFonts w:eastAsia="Calibri"/>
          <w:snapToGrid w:val="0"/>
          <w:sz w:val="22"/>
          <w:szCs w:val="22"/>
          <w:lang w:eastAsia="en-US"/>
        </w:rPr>
      </w:pPr>
      <w:r w:rsidRPr="009F7233">
        <w:rPr>
          <w:rFonts w:eastAsia="Calibri"/>
          <w:snapToGrid w:val="0"/>
          <w:sz w:val="22"/>
          <w:szCs w:val="22"/>
          <w:lang w:eastAsia="en-US"/>
        </w:rPr>
        <w:t>Kelt: ………………………………</w:t>
      </w:r>
      <w:proofErr w:type="gramStart"/>
      <w:r w:rsidRPr="009F7233">
        <w:rPr>
          <w:rFonts w:eastAsia="Calibri"/>
          <w:snapToGrid w:val="0"/>
          <w:sz w:val="22"/>
          <w:szCs w:val="22"/>
          <w:lang w:eastAsia="en-US"/>
        </w:rPr>
        <w:t>…….</w:t>
      </w:r>
      <w:proofErr w:type="gramEnd"/>
      <w:r w:rsidRPr="009F7233">
        <w:rPr>
          <w:rFonts w:eastAsia="Calibri"/>
          <w:snapToGrid w:val="0"/>
          <w:sz w:val="22"/>
          <w:szCs w:val="22"/>
          <w:lang w:eastAsia="en-US"/>
        </w:rPr>
        <w:t>.</w:t>
      </w:r>
      <w:r>
        <w:rPr>
          <w:rFonts w:eastAsia="Calibri"/>
          <w:snapToGrid w:val="0"/>
          <w:sz w:val="22"/>
          <w:szCs w:val="22"/>
          <w:lang w:eastAsia="en-US"/>
        </w:rPr>
        <w:tab/>
      </w:r>
      <w:r>
        <w:rPr>
          <w:rFonts w:eastAsia="Calibri"/>
          <w:snapToGrid w:val="0"/>
          <w:sz w:val="22"/>
          <w:szCs w:val="22"/>
          <w:lang w:eastAsia="en-US"/>
        </w:rPr>
        <w:tab/>
      </w:r>
    </w:p>
    <w:p w14:paraId="1A6A0C19" w14:textId="6E540F68" w:rsidR="00B14BAC" w:rsidRPr="008F59F5" w:rsidRDefault="008F59F5" w:rsidP="008F59F5">
      <w:pPr>
        <w:tabs>
          <w:tab w:val="left" w:pos="6480"/>
        </w:tabs>
        <w:spacing w:line="360" w:lineRule="auto"/>
        <w:ind w:left="6237"/>
        <w:jc w:val="both"/>
        <w:rPr>
          <w:sz w:val="22"/>
          <w:szCs w:val="22"/>
        </w:rPr>
      </w:pPr>
      <w:r>
        <w:rPr>
          <w:sz w:val="22"/>
          <w:szCs w:val="22"/>
        </w:rPr>
        <w:t>aláírás(ok)</w:t>
      </w:r>
    </w:p>
    <w:sectPr w:rsidR="00B14BAC" w:rsidRPr="008F59F5" w:rsidSect="008F59F5">
      <w:footerReference w:type="even" r:id="rId7"/>
      <w:headerReference w:type="first" r:id="rId8"/>
      <w:pgSz w:w="11906" w:h="16838"/>
      <w:pgMar w:top="1135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E69EA" w14:textId="77777777" w:rsidR="00686D7C" w:rsidRDefault="00686D7C" w:rsidP="008F59F5">
      <w:r>
        <w:separator/>
      </w:r>
    </w:p>
  </w:endnote>
  <w:endnote w:type="continuationSeparator" w:id="0">
    <w:p w14:paraId="37BB5ED4" w14:textId="77777777" w:rsidR="00686D7C" w:rsidRDefault="00686D7C" w:rsidP="008F5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AC38E" w14:textId="77777777" w:rsidR="008F59F5" w:rsidRDefault="008F59F5" w:rsidP="006975B3">
    <w:pPr>
      <w:pStyle w:val="llb"/>
      <w:framePr w:wrap="around" w:vAnchor="text" w:hAnchor="margin" w:xAlign="center" w:y="1"/>
      <w:rPr>
        <w:rStyle w:val="Oldalszm"/>
        <w:rFonts w:eastAsiaTheme="majorEastAsia"/>
      </w:rPr>
    </w:pPr>
    <w:r>
      <w:rPr>
        <w:rStyle w:val="Oldalszm"/>
        <w:rFonts w:eastAsiaTheme="majorEastAsia"/>
      </w:rPr>
      <w:fldChar w:fldCharType="begin"/>
    </w:r>
    <w:r>
      <w:rPr>
        <w:rStyle w:val="Oldalszm"/>
        <w:rFonts w:eastAsiaTheme="majorEastAsia"/>
      </w:rPr>
      <w:instrText xml:space="preserve">PAGE  </w:instrText>
    </w:r>
    <w:r>
      <w:rPr>
        <w:rStyle w:val="Oldalszm"/>
        <w:rFonts w:eastAsiaTheme="majorEastAsia"/>
      </w:rPr>
      <w:fldChar w:fldCharType="end"/>
    </w:r>
  </w:p>
  <w:p w14:paraId="5C9CF128" w14:textId="77777777" w:rsidR="008F59F5" w:rsidRDefault="008F59F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9B0019" w14:textId="77777777" w:rsidR="00686D7C" w:rsidRDefault="00686D7C" w:rsidP="008F59F5">
      <w:r>
        <w:separator/>
      </w:r>
    </w:p>
  </w:footnote>
  <w:footnote w:type="continuationSeparator" w:id="0">
    <w:p w14:paraId="323A2544" w14:textId="77777777" w:rsidR="00686D7C" w:rsidRDefault="00686D7C" w:rsidP="008F5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D5FE4" w14:textId="53047D9F" w:rsidR="008F59F5" w:rsidRPr="00646507" w:rsidRDefault="008F59F5" w:rsidP="008F59F5">
    <w:pPr>
      <w:pStyle w:val="lfej"/>
      <w:rPr>
        <w:sz w:val="18"/>
        <w:szCs w:val="18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2461DF"/>
    <w:multiLevelType w:val="hybridMultilevel"/>
    <w:tmpl w:val="74B6D8C6"/>
    <w:lvl w:ilvl="0" w:tplc="A3B4A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1259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9F5"/>
    <w:rsid w:val="000E60E1"/>
    <w:rsid w:val="00686D7C"/>
    <w:rsid w:val="00715DAA"/>
    <w:rsid w:val="008F59F5"/>
    <w:rsid w:val="00B1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79A9F"/>
  <w15:chartTrackingRefBased/>
  <w15:docId w15:val="{0F6E8289-BD1A-415C-83F2-C32006D98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HAnsi"/>
        <w:kern w:val="2"/>
        <w:sz w:val="24"/>
        <w:szCs w:val="22"/>
        <w:lang w:val="hu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F59F5"/>
    <w:rPr>
      <w:rFonts w:eastAsia="Times New Roman" w:cs="Times New Roman"/>
      <w:kern w:val="0"/>
      <w:szCs w:val="24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8F59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F59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F59F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F59F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F59F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F59F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F59F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F59F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F59F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F59F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F59F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F59F5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F59F5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F59F5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F59F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F59F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F59F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F59F5"/>
    <w:rPr>
      <w:rFonts w:asciiTheme="minorHAnsi" w:eastAsiaTheme="majorEastAsia" w:hAnsiTheme="minorHAnsi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F59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F59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F59F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8F59F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F59F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8F59F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F59F5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8F59F5"/>
    <w:rPr>
      <w:i/>
      <w:iCs/>
      <w:color w:val="365F9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F59F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F59F5"/>
    <w:rPr>
      <w:i/>
      <w:iCs/>
      <w:color w:val="365F9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F59F5"/>
    <w:rPr>
      <w:b/>
      <w:bCs/>
      <w:smallCaps/>
      <w:color w:val="365F91" w:themeColor="accent1" w:themeShade="BF"/>
      <w:spacing w:val="5"/>
    </w:rPr>
  </w:style>
  <w:style w:type="paragraph" w:styleId="lfej">
    <w:name w:val="header"/>
    <w:basedOn w:val="Norml"/>
    <w:link w:val="lfejChar"/>
    <w:rsid w:val="008F59F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F59F5"/>
    <w:rPr>
      <w:rFonts w:eastAsia="Times New Roman" w:cs="Times New Roman"/>
      <w:kern w:val="0"/>
      <w:szCs w:val="24"/>
      <w:lang w:eastAsia="hu-HU"/>
      <w14:ligatures w14:val="none"/>
    </w:rPr>
  </w:style>
  <w:style w:type="paragraph" w:styleId="llb">
    <w:name w:val="footer"/>
    <w:basedOn w:val="Norml"/>
    <w:link w:val="llbChar"/>
    <w:rsid w:val="008F59F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F59F5"/>
    <w:rPr>
      <w:rFonts w:eastAsia="Times New Roman" w:cs="Times New Roman"/>
      <w:kern w:val="0"/>
      <w:szCs w:val="24"/>
      <w:lang w:eastAsia="hu-HU"/>
      <w14:ligatures w14:val="none"/>
    </w:rPr>
  </w:style>
  <w:style w:type="character" w:styleId="Oldalszm">
    <w:name w:val="page number"/>
    <w:basedOn w:val="Bekezdsalapbettpusa"/>
    <w:rsid w:val="008F5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1127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Soós Attila</dc:creator>
  <cp:keywords/>
  <dc:description/>
  <cp:lastModifiedBy>Soós Attila</cp:lastModifiedBy>
  <cp:revision>1</cp:revision>
  <dcterms:created xsi:type="dcterms:W3CDTF">2025-08-07T06:28:00Z</dcterms:created>
  <dcterms:modified xsi:type="dcterms:W3CDTF">2025-08-07T06:29:00Z</dcterms:modified>
</cp:coreProperties>
</file>